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001" w:rsidRDefault="00A90001" w:rsidP="00A90001">
      <w:pPr>
        <w:bidi/>
        <w:rPr>
          <w:rFonts w:hint="cs"/>
          <w:rtl/>
        </w:rPr>
      </w:pPr>
    </w:p>
    <w:p w:rsidR="00EA6DB0" w:rsidRDefault="00EA6DB0" w:rsidP="00EA6DB0">
      <w:pPr>
        <w:bidi/>
        <w:rPr>
          <w:rFonts w:hint="cs"/>
          <w:rtl/>
        </w:rPr>
      </w:pPr>
    </w:p>
    <w:p w:rsidR="00A90001" w:rsidRPr="00A90001" w:rsidRDefault="00A90001" w:rsidP="00A90001">
      <w:pPr>
        <w:bidi/>
        <w:rPr>
          <w:rFonts w:cstheme="minorHAnsi"/>
          <w:b/>
          <w:bCs/>
          <w:sz w:val="56"/>
          <w:szCs w:val="56"/>
          <w:rtl/>
        </w:rPr>
      </w:pPr>
      <w:proofErr w:type="gramStart"/>
      <w:r w:rsidRPr="00A90001">
        <w:rPr>
          <w:rFonts w:cstheme="minorHAnsi"/>
          <w:b/>
          <w:bCs/>
          <w:sz w:val="56"/>
          <w:szCs w:val="56"/>
          <w:rtl/>
        </w:rPr>
        <w:t>ملخ</w:t>
      </w:r>
      <w:r w:rsidR="00EA6DB0">
        <w:rPr>
          <w:rFonts w:cstheme="minorHAnsi" w:hint="cs"/>
          <w:b/>
          <w:bCs/>
          <w:sz w:val="56"/>
          <w:szCs w:val="56"/>
          <w:rtl/>
        </w:rPr>
        <w:t>ــــــــــ</w:t>
      </w:r>
      <w:r w:rsidRPr="00A90001">
        <w:rPr>
          <w:rFonts w:cstheme="minorHAnsi"/>
          <w:b/>
          <w:bCs/>
          <w:sz w:val="56"/>
          <w:szCs w:val="56"/>
          <w:rtl/>
        </w:rPr>
        <w:t>ص</w:t>
      </w:r>
      <w:proofErr w:type="gramEnd"/>
    </w:p>
    <w:p w:rsidR="00A90001" w:rsidRDefault="00A90001" w:rsidP="00A90001">
      <w:pPr>
        <w:bidi/>
        <w:rPr>
          <w:rFonts w:hint="cs"/>
          <w:rtl/>
        </w:rPr>
      </w:pPr>
    </w:p>
    <w:p w:rsidR="00A90001" w:rsidRDefault="00A90001" w:rsidP="00A90001">
      <w:pPr>
        <w:bidi/>
        <w:rPr>
          <w:rFonts w:hint="cs"/>
          <w:rtl/>
        </w:rPr>
      </w:pPr>
    </w:p>
    <w:p w:rsidR="009930E7" w:rsidRPr="00A90001" w:rsidRDefault="00A90001" w:rsidP="00A90001">
      <w:pPr>
        <w:bidi/>
        <w:jc w:val="both"/>
        <w:rPr>
          <w:rFonts w:cstheme="minorHAnsi"/>
          <w:sz w:val="28"/>
          <w:szCs w:val="28"/>
          <w:rtl/>
        </w:rPr>
      </w:pPr>
      <w:r w:rsidRPr="00A90001">
        <w:rPr>
          <w:rFonts w:cstheme="minorHAnsi"/>
          <w:sz w:val="28"/>
          <w:szCs w:val="28"/>
          <w:rtl/>
        </w:rPr>
        <w:t xml:space="preserve">  </w:t>
      </w:r>
      <w:proofErr w:type="gramStart"/>
      <w:r w:rsidRPr="00A90001">
        <w:rPr>
          <w:rFonts w:cstheme="minorHAnsi"/>
          <w:sz w:val="28"/>
          <w:szCs w:val="28"/>
          <w:rtl/>
        </w:rPr>
        <w:t>تُكرَّس</w:t>
      </w:r>
      <w:proofErr w:type="gramEnd"/>
      <w:r w:rsidRPr="00A90001">
        <w:rPr>
          <w:rFonts w:cstheme="minorHAnsi"/>
          <w:sz w:val="28"/>
          <w:szCs w:val="28"/>
          <w:rtl/>
        </w:rPr>
        <w:t xml:space="preserve"> هذه الأطروحة لدراسة عدد من الفئات من معادلات الفروق غير الخطية ومعادلات الفروق الضبابية غير الخطية، مع التركيز على التحليل النوعي لسلوك حلولها</w:t>
      </w:r>
      <w:r w:rsidRPr="00A90001">
        <w:rPr>
          <w:rFonts w:cstheme="minorHAnsi"/>
          <w:sz w:val="28"/>
          <w:szCs w:val="28"/>
        </w:rPr>
        <w:t>.</w:t>
      </w:r>
    </w:p>
    <w:p w:rsidR="00A90001" w:rsidRPr="00A90001" w:rsidRDefault="00A90001" w:rsidP="00AA63D1">
      <w:pPr>
        <w:bidi/>
        <w:jc w:val="both"/>
        <w:rPr>
          <w:rFonts w:cstheme="minorHAnsi"/>
          <w:sz w:val="28"/>
          <w:szCs w:val="28"/>
          <w:rtl/>
        </w:rPr>
      </w:pPr>
      <w:r w:rsidRPr="00A90001">
        <w:rPr>
          <w:rFonts w:cstheme="minorHAnsi"/>
          <w:sz w:val="28"/>
          <w:szCs w:val="28"/>
          <w:rtl/>
        </w:rPr>
        <w:t xml:space="preserve">      يُعنى هذا العمل بالتحليل الديناميكي لمعادلات الفروق الضبابية من الرتب العليا، حيث يتم إثبات وجود ووحدانية الحلول الضبابية الموجبة تحت شروط ابتدائية ملائمة. كما يتم برهان محدودية هذه الحلول </w:t>
      </w:r>
      <w:proofErr w:type="spellStart"/>
      <w:r w:rsidRPr="00A90001">
        <w:rPr>
          <w:rFonts w:cstheme="minorHAnsi"/>
          <w:sz w:val="28"/>
          <w:szCs w:val="28"/>
          <w:rtl/>
        </w:rPr>
        <w:t>واستمراريتها</w:t>
      </w:r>
      <w:proofErr w:type="spellEnd"/>
      <w:r w:rsidRPr="00A90001">
        <w:rPr>
          <w:rFonts w:cstheme="minorHAnsi"/>
          <w:sz w:val="28"/>
          <w:szCs w:val="28"/>
          <w:rtl/>
        </w:rPr>
        <w:t xml:space="preserve"> وتقاربها نحو نقطة توازن </w:t>
      </w:r>
      <w:r w:rsidR="00AA63D1">
        <w:rPr>
          <w:rFonts w:cstheme="minorHAnsi" w:hint="cs"/>
          <w:sz w:val="28"/>
          <w:szCs w:val="28"/>
          <w:rtl/>
        </w:rPr>
        <w:t>وحيدة</w:t>
      </w:r>
      <w:r w:rsidRPr="00A90001">
        <w:rPr>
          <w:rFonts w:cstheme="minorHAnsi"/>
          <w:sz w:val="28"/>
          <w:szCs w:val="28"/>
          <w:rtl/>
        </w:rPr>
        <w:t xml:space="preserve">. </w:t>
      </w:r>
      <w:proofErr w:type="gramStart"/>
      <w:r w:rsidRPr="00A90001">
        <w:rPr>
          <w:rFonts w:cstheme="minorHAnsi"/>
          <w:sz w:val="28"/>
          <w:szCs w:val="28"/>
          <w:rtl/>
        </w:rPr>
        <w:t>علاوةً</w:t>
      </w:r>
      <w:proofErr w:type="gramEnd"/>
      <w:r w:rsidRPr="00A90001">
        <w:rPr>
          <w:rFonts w:cstheme="minorHAnsi"/>
          <w:sz w:val="28"/>
          <w:szCs w:val="28"/>
          <w:rtl/>
        </w:rPr>
        <w:t xml:space="preserve"> على ذلك، يُبحث في معدل التقارب، وتُقدَّم أمثلة عددية لتوضيح النتائج النظرية ودعمها بالتطبيقات الحسابية</w:t>
      </w:r>
      <w:r w:rsidRPr="00A90001">
        <w:rPr>
          <w:rFonts w:cstheme="minorHAnsi"/>
          <w:sz w:val="28"/>
          <w:szCs w:val="28"/>
        </w:rPr>
        <w:t>.</w:t>
      </w:r>
    </w:p>
    <w:p w:rsidR="00A90001" w:rsidRDefault="00A90001" w:rsidP="00A90001">
      <w:pPr>
        <w:bidi/>
        <w:jc w:val="both"/>
        <w:rPr>
          <w:rFonts w:cstheme="minorHAnsi" w:hint="cs"/>
          <w:sz w:val="28"/>
          <w:szCs w:val="28"/>
          <w:rtl/>
        </w:rPr>
      </w:pPr>
      <w:r w:rsidRPr="00A90001">
        <w:rPr>
          <w:rFonts w:cstheme="minorHAnsi"/>
          <w:sz w:val="28"/>
          <w:szCs w:val="28"/>
          <w:rtl/>
        </w:rPr>
        <w:t xml:space="preserve">   </w:t>
      </w:r>
      <w:r w:rsidR="00EA6DB0">
        <w:rPr>
          <w:rFonts w:cstheme="minorHAnsi" w:hint="cs"/>
          <w:sz w:val="28"/>
          <w:szCs w:val="28"/>
          <w:rtl/>
        </w:rPr>
        <w:t xml:space="preserve"> </w:t>
      </w:r>
      <w:r w:rsidRPr="00A90001">
        <w:rPr>
          <w:rFonts w:cstheme="minorHAnsi"/>
          <w:sz w:val="28"/>
          <w:szCs w:val="28"/>
          <w:rtl/>
        </w:rPr>
        <w:t xml:space="preserve"> </w:t>
      </w:r>
      <w:proofErr w:type="gramStart"/>
      <w:r w:rsidRPr="00A90001">
        <w:rPr>
          <w:rFonts w:cstheme="minorHAnsi"/>
          <w:sz w:val="28"/>
          <w:szCs w:val="28"/>
          <w:rtl/>
        </w:rPr>
        <w:t>أما</w:t>
      </w:r>
      <w:proofErr w:type="gramEnd"/>
      <w:r w:rsidRPr="00A90001">
        <w:rPr>
          <w:rFonts w:cstheme="minorHAnsi"/>
          <w:sz w:val="28"/>
          <w:szCs w:val="28"/>
          <w:rtl/>
        </w:rPr>
        <w:t xml:space="preserve"> في الجزء الأخير من الأطروحة، فيُخصَّص لدراسة نظام غير خطي ثلاثي الأبعاد من معادلات الفروق يتميّز بمعاملات كيفية ووسائط غير متماثلة. </w:t>
      </w:r>
      <w:proofErr w:type="gramStart"/>
      <w:r w:rsidRPr="00A90001">
        <w:rPr>
          <w:rFonts w:cstheme="minorHAnsi"/>
          <w:sz w:val="28"/>
          <w:szCs w:val="28"/>
          <w:rtl/>
        </w:rPr>
        <w:t>ومن</w:t>
      </w:r>
      <w:proofErr w:type="gramEnd"/>
      <w:r w:rsidRPr="00A90001">
        <w:rPr>
          <w:rFonts w:cstheme="minorHAnsi"/>
          <w:sz w:val="28"/>
          <w:szCs w:val="28"/>
          <w:rtl/>
        </w:rPr>
        <w:t xml:space="preserve"> خلال تحليل خطي للنظام حول نقطة التوازن، تُدرس الديناميكيات المحلية وتُستخلص شروط كافية للاستقرار المحلي. كما يُبيَّن أن الحلول تُظهر سلوكًا تذبذبيًا محدودًا </w:t>
      </w:r>
      <w:proofErr w:type="gramStart"/>
      <w:r w:rsidRPr="00A90001">
        <w:rPr>
          <w:rFonts w:cstheme="minorHAnsi"/>
          <w:sz w:val="28"/>
          <w:szCs w:val="28"/>
          <w:rtl/>
        </w:rPr>
        <w:t>ومستمرًا</w:t>
      </w:r>
      <w:proofErr w:type="gramEnd"/>
      <w:r w:rsidRPr="00A90001">
        <w:rPr>
          <w:rFonts w:cstheme="minorHAnsi"/>
          <w:sz w:val="28"/>
          <w:szCs w:val="28"/>
          <w:rtl/>
        </w:rPr>
        <w:t>، يتأثر بقيم الوسائط وبطبيعة الشروط الابتدائية</w:t>
      </w:r>
      <w:r w:rsidRPr="00A90001">
        <w:rPr>
          <w:rFonts w:cstheme="minorHAnsi"/>
          <w:sz w:val="28"/>
          <w:szCs w:val="28"/>
        </w:rPr>
        <w:t>.</w:t>
      </w:r>
    </w:p>
    <w:p w:rsidR="00EA6DB0" w:rsidRPr="00A90001" w:rsidRDefault="00EA6DB0" w:rsidP="00EA6DB0">
      <w:pPr>
        <w:bidi/>
        <w:jc w:val="both"/>
        <w:rPr>
          <w:rFonts w:cstheme="minorHAnsi"/>
          <w:sz w:val="28"/>
          <w:szCs w:val="28"/>
          <w:rtl/>
        </w:rPr>
      </w:pPr>
    </w:p>
    <w:p w:rsidR="00A90001" w:rsidRPr="00A90001" w:rsidRDefault="00A90001" w:rsidP="009C323B">
      <w:pPr>
        <w:bidi/>
        <w:jc w:val="both"/>
        <w:rPr>
          <w:rFonts w:cstheme="minorHAnsi"/>
          <w:sz w:val="28"/>
          <w:szCs w:val="28"/>
        </w:rPr>
      </w:pPr>
      <w:r w:rsidRPr="00A90001">
        <w:rPr>
          <w:rStyle w:val="lev"/>
          <w:rFonts w:cstheme="minorHAnsi"/>
          <w:sz w:val="28"/>
          <w:szCs w:val="28"/>
          <w:rtl/>
        </w:rPr>
        <w:t>الكلمات ال</w:t>
      </w:r>
      <w:r w:rsidR="009C323B">
        <w:rPr>
          <w:rStyle w:val="lev"/>
          <w:rFonts w:cstheme="minorHAnsi" w:hint="cs"/>
          <w:sz w:val="28"/>
          <w:szCs w:val="28"/>
          <w:rtl/>
        </w:rPr>
        <w:t>أساسية</w:t>
      </w:r>
      <w:r w:rsidRPr="00A90001">
        <w:rPr>
          <w:rStyle w:val="lev"/>
          <w:rFonts w:cstheme="minorHAnsi"/>
          <w:sz w:val="28"/>
          <w:szCs w:val="28"/>
        </w:rPr>
        <w:t>:</w:t>
      </w:r>
      <w:r w:rsidR="00620649">
        <w:rPr>
          <w:rStyle w:val="lev"/>
          <w:rFonts w:cstheme="minorHAnsi" w:hint="cs"/>
          <w:sz w:val="28"/>
          <w:szCs w:val="28"/>
          <w:rtl/>
        </w:rPr>
        <w:t xml:space="preserve"> </w:t>
      </w:r>
      <w:r w:rsidRPr="00A90001">
        <w:rPr>
          <w:rFonts w:cstheme="minorHAnsi"/>
          <w:sz w:val="28"/>
          <w:szCs w:val="28"/>
        </w:rPr>
        <w:t xml:space="preserve"> </w:t>
      </w:r>
      <w:r w:rsidRPr="00A90001">
        <w:rPr>
          <w:rFonts w:cstheme="minorHAnsi"/>
          <w:sz w:val="28"/>
          <w:szCs w:val="28"/>
          <w:rtl/>
        </w:rPr>
        <w:t xml:space="preserve">معادلات الفروق الضبابية، الأعداد الضبابية، أنظمة المعادلات </w:t>
      </w:r>
      <w:proofErr w:type="spellStart"/>
      <w:r w:rsidRPr="00A90001">
        <w:rPr>
          <w:rFonts w:cstheme="minorHAnsi"/>
          <w:sz w:val="28"/>
          <w:szCs w:val="28"/>
          <w:rtl/>
        </w:rPr>
        <w:t>الفرقية</w:t>
      </w:r>
      <w:proofErr w:type="spellEnd"/>
      <w:r w:rsidRPr="00A90001">
        <w:rPr>
          <w:rFonts w:cstheme="minorHAnsi"/>
          <w:sz w:val="28"/>
          <w:szCs w:val="28"/>
          <w:rtl/>
        </w:rPr>
        <w:t xml:space="preserve">، نقاط التوازن، الاستقرار المحلي، السلوك </w:t>
      </w:r>
      <w:proofErr w:type="spellStart"/>
      <w:r w:rsidRPr="00A90001">
        <w:rPr>
          <w:rFonts w:cstheme="minorHAnsi"/>
          <w:sz w:val="28"/>
          <w:szCs w:val="28"/>
          <w:rtl/>
        </w:rPr>
        <w:t>التقاربي</w:t>
      </w:r>
      <w:proofErr w:type="spellEnd"/>
      <w:r w:rsidRPr="00A90001">
        <w:rPr>
          <w:rFonts w:cstheme="minorHAnsi"/>
          <w:sz w:val="28"/>
          <w:szCs w:val="28"/>
          <w:rtl/>
        </w:rPr>
        <w:t>، معدل التقارب</w:t>
      </w:r>
    </w:p>
    <w:sectPr w:rsidR="00A90001" w:rsidRPr="00A90001" w:rsidSect="002052A7">
      <w:footerReference w:type="default" r:id="rId6"/>
      <w:pgSz w:w="11906" w:h="16838"/>
      <w:pgMar w:top="1276" w:right="1985" w:bottom="2835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98E" w:rsidRDefault="008C098E" w:rsidP="00B2178B">
      <w:pPr>
        <w:spacing w:after="0" w:line="240" w:lineRule="auto"/>
      </w:pPr>
      <w:r>
        <w:separator/>
      </w:r>
    </w:p>
  </w:endnote>
  <w:endnote w:type="continuationSeparator" w:id="1">
    <w:p w:rsidR="008C098E" w:rsidRDefault="008C098E" w:rsidP="00B21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5B0" w:rsidRPr="00C805B0" w:rsidRDefault="00C805B0" w:rsidP="00C805B0">
    <w:pPr>
      <w:pStyle w:val="Pieddepage"/>
      <w:jc w:val="center"/>
      <w:rPr>
        <w:b/>
        <w:bCs/>
      </w:rPr>
    </w:pPr>
    <w:r w:rsidRPr="00C805B0">
      <w:rPr>
        <w:b/>
        <w:bCs/>
      </w:rPr>
      <w:t>v</w:t>
    </w:r>
  </w:p>
  <w:p w:rsidR="00C805B0" w:rsidRDefault="00C805B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98E" w:rsidRDefault="008C098E" w:rsidP="00B2178B">
      <w:pPr>
        <w:spacing w:after="0" w:line="240" w:lineRule="auto"/>
      </w:pPr>
      <w:r>
        <w:separator/>
      </w:r>
    </w:p>
  </w:footnote>
  <w:footnote w:type="continuationSeparator" w:id="1">
    <w:p w:rsidR="008C098E" w:rsidRDefault="008C098E" w:rsidP="00B217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178B"/>
    <w:rsid w:val="00123E4E"/>
    <w:rsid w:val="0015582B"/>
    <w:rsid w:val="001914F7"/>
    <w:rsid w:val="002052A7"/>
    <w:rsid w:val="00366052"/>
    <w:rsid w:val="00491FE3"/>
    <w:rsid w:val="004B5AAF"/>
    <w:rsid w:val="00620649"/>
    <w:rsid w:val="007F3011"/>
    <w:rsid w:val="0084434A"/>
    <w:rsid w:val="00872868"/>
    <w:rsid w:val="008C098E"/>
    <w:rsid w:val="00917620"/>
    <w:rsid w:val="009930E7"/>
    <w:rsid w:val="009C323B"/>
    <w:rsid w:val="009E01F7"/>
    <w:rsid w:val="00A5326A"/>
    <w:rsid w:val="00A90001"/>
    <w:rsid w:val="00AA63D1"/>
    <w:rsid w:val="00AF52FA"/>
    <w:rsid w:val="00B2178B"/>
    <w:rsid w:val="00C05310"/>
    <w:rsid w:val="00C805B0"/>
    <w:rsid w:val="00CA306B"/>
    <w:rsid w:val="00EA6DB0"/>
    <w:rsid w:val="00ED51EE"/>
    <w:rsid w:val="00EE63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0E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B21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2178B"/>
  </w:style>
  <w:style w:type="paragraph" w:styleId="Pieddepage">
    <w:name w:val="footer"/>
    <w:basedOn w:val="Normal"/>
    <w:link w:val="PieddepageCar"/>
    <w:uiPriority w:val="99"/>
    <w:unhideWhenUsed/>
    <w:rsid w:val="00B21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2178B"/>
  </w:style>
  <w:style w:type="paragraph" w:styleId="NormalWeb">
    <w:name w:val="Normal (Web)"/>
    <w:basedOn w:val="Normal"/>
    <w:uiPriority w:val="99"/>
    <w:unhideWhenUsed/>
    <w:rsid w:val="00B21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217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0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1551</TotalTime>
  <Pages>1</Pages>
  <Words>158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 Windows</dc:creator>
  <cp:lastModifiedBy>Yacine</cp:lastModifiedBy>
  <cp:revision>17</cp:revision>
  <cp:lastPrinted>2025-08-29T16:09:00Z</cp:lastPrinted>
  <dcterms:created xsi:type="dcterms:W3CDTF">2025-03-06T08:59:00Z</dcterms:created>
  <dcterms:modified xsi:type="dcterms:W3CDTF">2025-10-10T19:56:00Z</dcterms:modified>
</cp:coreProperties>
</file>